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09" w:rsidRPr="007D113D" w:rsidRDefault="0036645E" w:rsidP="007D113D">
      <w:pPr>
        <w:pStyle w:val="ListParagraph"/>
        <w:numPr>
          <w:ilvl w:val="0"/>
          <w:numId w:val="6"/>
        </w:numPr>
        <w:rPr>
          <w:b/>
        </w:rPr>
      </w:pPr>
      <w:r w:rsidRPr="007D113D">
        <w:rPr>
          <w:b/>
        </w:rPr>
        <w:t>Statutory Demands</w:t>
      </w:r>
    </w:p>
    <w:p w:rsidR="00615B12" w:rsidRPr="00615B12" w:rsidRDefault="00615B12">
      <w:pPr>
        <w:rPr>
          <w:b/>
        </w:rPr>
      </w:pPr>
      <w:r>
        <w:rPr>
          <w:b/>
        </w:rPr>
        <w:t xml:space="preserve">Pitfalls for your clients on either side of the fence </w:t>
      </w:r>
    </w:p>
    <w:p w:rsidR="0036645E" w:rsidRDefault="0036645E"/>
    <w:p w:rsidR="0036645E" w:rsidRDefault="0036645E">
      <w:r>
        <w:t xml:space="preserve">Lately I have been asked about the key elements of Statutory Demands – how </w:t>
      </w:r>
      <w:r w:rsidR="0017082C">
        <w:t xml:space="preserve">they work, </w:t>
      </w:r>
      <w:r>
        <w:t>when they are appropriate to use</w:t>
      </w:r>
      <w:r w:rsidR="0017082C">
        <w:t xml:space="preserve"> and how to </w:t>
      </w:r>
      <w:r w:rsidR="00804C96">
        <w:t xml:space="preserve">possibly </w:t>
      </w:r>
      <w:r w:rsidR="0017082C">
        <w:t xml:space="preserve">defend </w:t>
      </w:r>
      <w:r w:rsidR="006A589D">
        <w:t>one in the event one is received</w:t>
      </w:r>
      <w:r>
        <w:t xml:space="preserve">. So I felt it would be beneficial to put together this overview for our </w:t>
      </w:r>
      <w:r w:rsidR="006F55E4">
        <w:t xml:space="preserve">readers out there. </w:t>
      </w:r>
    </w:p>
    <w:p w:rsidR="007D7FBE" w:rsidRDefault="007D7FBE"/>
    <w:p w:rsidR="007D7FBE" w:rsidRDefault="006A589D">
      <w:r>
        <w:t>I</w:t>
      </w:r>
      <w:r w:rsidR="007D7FBE">
        <w:t xml:space="preserve">f you have a client who is thinking about issuing </w:t>
      </w:r>
      <w:r>
        <w:t xml:space="preserve">a </w:t>
      </w:r>
      <w:r w:rsidR="0017082C">
        <w:t>Statutory Demand</w:t>
      </w:r>
      <w:r w:rsidR="007D7FBE">
        <w:t xml:space="preserve">, or may have received one, I am sure you will find this article to be useful. </w:t>
      </w:r>
    </w:p>
    <w:p w:rsidR="006F55E4" w:rsidRDefault="006F55E4"/>
    <w:p w:rsidR="00103593" w:rsidRPr="00103593" w:rsidRDefault="00103593">
      <w:pPr>
        <w:rPr>
          <w:b/>
        </w:rPr>
      </w:pPr>
      <w:r>
        <w:rPr>
          <w:b/>
        </w:rPr>
        <w:t xml:space="preserve">Background </w:t>
      </w:r>
    </w:p>
    <w:p w:rsidR="00103593" w:rsidRDefault="00103593"/>
    <w:p w:rsidR="006F55E4" w:rsidRDefault="006F55E4">
      <w:r>
        <w:t xml:space="preserve">The technical </w:t>
      </w:r>
      <w:r w:rsidR="00103593">
        <w:t>elements</w:t>
      </w:r>
      <w:r>
        <w:t xml:space="preserve"> of </w:t>
      </w:r>
      <w:r w:rsidR="00D333A1">
        <w:t>a Statutory Demand are set out</w:t>
      </w:r>
      <w:r w:rsidR="006D353D">
        <w:t xml:space="preserve"> in</w:t>
      </w:r>
      <w:r w:rsidR="00D333A1">
        <w:t xml:space="preserve"> section 459E of the </w:t>
      </w:r>
      <w:r w:rsidR="00D333A1">
        <w:rPr>
          <w:i/>
        </w:rPr>
        <w:t>Corporations Act 2001</w:t>
      </w:r>
      <w:r w:rsidR="00D333A1">
        <w:t xml:space="preserve"> and briefly, are as follows: </w:t>
      </w:r>
    </w:p>
    <w:p w:rsidR="00AF2577" w:rsidRDefault="00AF2577"/>
    <w:p w:rsidR="00AF2577" w:rsidRDefault="00AF2577" w:rsidP="00AF2577">
      <w:pPr>
        <w:pStyle w:val="ListParagraph"/>
        <w:numPr>
          <w:ilvl w:val="0"/>
          <w:numId w:val="1"/>
        </w:numPr>
      </w:pPr>
      <w:r>
        <w:t>A Statutory Demand is served on a company</w:t>
      </w:r>
      <w:r w:rsidR="00817588">
        <w:t>, most commonly at its registered office (note that Statutory Demands do not apply to</w:t>
      </w:r>
      <w:r>
        <w:t xml:space="preserve"> an individual – the equivalent in the personal insolvency world is a Bankruptcy Notice, and it </w:t>
      </w:r>
      <w:r w:rsidR="00A86C30">
        <w:t>work</w:t>
      </w:r>
      <w:r w:rsidR="00804C96">
        <w:t>s</w:t>
      </w:r>
      <w:r w:rsidR="00A86C30">
        <w:t xml:space="preserve"> is a similar way</w:t>
      </w:r>
      <w:r w:rsidR="003B2094">
        <w:t xml:space="preserve"> to a Statutory Demand</w:t>
      </w:r>
      <w:r w:rsidR="00C2271C">
        <w:t xml:space="preserve">) </w:t>
      </w:r>
      <w:r w:rsidR="003B2094">
        <w:t xml:space="preserve"> </w:t>
      </w:r>
    </w:p>
    <w:p w:rsidR="00AF2577" w:rsidRDefault="00804C96" w:rsidP="00AF2577">
      <w:pPr>
        <w:pStyle w:val="ListParagraph"/>
        <w:numPr>
          <w:ilvl w:val="0"/>
          <w:numId w:val="1"/>
        </w:numPr>
      </w:pPr>
      <w:r>
        <w:t>In a Statutory Demand t</w:t>
      </w:r>
      <w:r w:rsidR="00A86C30">
        <w:t xml:space="preserve">here is a statutory minimum </w:t>
      </w:r>
      <w:r w:rsidR="002156D3">
        <w:t>to be owed to the creditor</w:t>
      </w:r>
      <w:r w:rsidR="003B2094">
        <w:t xml:space="preserve"> by the debtor</w:t>
      </w:r>
      <w:r w:rsidR="002156D3">
        <w:t xml:space="preserve"> of </w:t>
      </w:r>
      <w:r w:rsidR="00A86C30">
        <w:t xml:space="preserve">$2,000 </w:t>
      </w:r>
    </w:p>
    <w:p w:rsidR="002156D3" w:rsidRDefault="002156D3" w:rsidP="00AF2577">
      <w:pPr>
        <w:pStyle w:val="ListParagraph"/>
        <w:numPr>
          <w:ilvl w:val="0"/>
          <w:numId w:val="1"/>
        </w:numPr>
      </w:pPr>
      <w:r>
        <w:t>T</w:t>
      </w:r>
      <w:r w:rsidR="00095FDC">
        <w:t xml:space="preserve">he </w:t>
      </w:r>
      <w:r w:rsidR="00177F7D">
        <w:t>form must:</w:t>
      </w:r>
    </w:p>
    <w:p w:rsidR="00095FDC" w:rsidRDefault="00DD31B9" w:rsidP="00095FDC">
      <w:pPr>
        <w:pStyle w:val="ListParagraph"/>
        <w:numPr>
          <w:ilvl w:val="1"/>
          <w:numId w:val="1"/>
        </w:numPr>
      </w:pPr>
      <w:r>
        <w:t>specify the amount owed</w:t>
      </w:r>
      <w:r w:rsidR="0026089C">
        <w:t xml:space="preserve"> in an unambiguous and clearly quantified way</w:t>
      </w:r>
      <w:r w:rsidR="000536AC">
        <w:t>,</w:t>
      </w:r>
      <w:r w:rsidR="0026089C">
        <w:t xml:space="preserve"> so as to avoid the risk of having the demand set aside</w:t>
      </w:r>
      <w:r>
        <w:t xml:space="preserve">; and </w:t>
      </w:r>
    </w:p>
    <w:p w:rsidR="00095FDC" w:rsidRDefault="00095FDC" w:rsidP="00095FDC">
      <w:pPr>
        <w:pStyle w:val="ListParagraph"/>
        <w:numPr>
          <w:ilvl w:val="1"/>
          <w:numId w:val="1"/>
        </w:numPr>
      </w:pPr>
      <w:r>
        <w:t xml:space="preserve">specify a period of no less than 21 days </w:t>
      </w:r>
      <w:r w:rsidR="00FF0063">
        <w:t xml:space="preserve">for the debtor to pay </w:t>
      </w:r>
      <w:r w:rsidR="000B275E">
        <w:t xml:space="preserve">up </w:t>
      </w:r>
      <w:r w:rsidR="00FF0063">
        <w:t>following service of t</w:t>
      </w:r>
      <w:r w:rsidR="00DD31B9">
        <w:t xml:space="preserve">he demand; and </w:t>
      </w:r>
    </w:p>
    <w:p w:rsidR="00FF0063" w:rsidRDefault="00FF0063" w:rsidP="00095FDC">
      <w:pPr>
        <w:pStyle w:val="ListParagraph"/>
        <w:numPr>
          <w:ilvl w:val="1"/>
          <w:numId w:val="1"/>
        </w:numPr>
      </w:pPr>
      <w:r>
        <w:t>be in writing</w:t>
      </w:r>
      <w:r w:rsidR="00DD31B9">
        <w:t xml:space="preserve">; and </w:t>
      </w:r>
      <w:r>
        <w:t xml:space="preserve"> </w:t>
      </w:r>
    </w:p>
    <w:p w:rsidR="00FF0063" w:rsidRDefault="00FF0063" w:rsidP="00095FDC">
      <w:pPr>
        <w:pStyle w:val="ListParagraph"/>
        <w:numPr>
          <w:ilvl w:val="1"/>
          <w:numId w:val="1"/>
        </w:numPr>
      </w:pPr>
      <w:r>
        <w:t xml:space="preserve">be signed by, or on behalf of, </w:t>
      </w:r>
      <w:r w:rsidR="00DD31B9">
        <w:t xml:space="preserve">the creditor. </w:t>
      </w:r>
    </w:p>
    <w:p w:rsidR="00177F7D" w:rsidRDefault="00DD31B9" w:rsidP="00177F7D">
      <w:pPr>
        <w:pStyle w:val="ListParagraph"/>
        <w:numPr>
          <w:ilvl w:val="0"/>
          <w:numId w:val="1"/>
        </w:numPr>
      </w:pPr>
      <w:r>
        <w:t>If the debt is not</w:t>
      </w:r>
      <w:r w:rsidR="00177F7D">
        <w:t xml:space="preserve"> a judgement debt, that is a debt </w:t>
      </w:r>
      <w:r w:rsidR="00746783">
        <w:t xml:space="preserve">that has been </w:t>
      </w:r>
      <w:r w:rsidR="007E2C4B">
        <w:t>ruled on</w:t>
      </w:r>
      <w:r w:rsidR="00FE2B12">
        <w:t xml:space="preserve"> by a </w:t>
      </w:r>
      <w:r w:rsidR="00804C96">
        <w:t xml:space="preserve">Court </w:t>
      </w:r>
      <w:r w:rsidR="000B275E">
        <w:t>as being owed</w:t>
      </w:r>
      <w:r w:rsidR="00746783">
        <w:t xml:space="preserve">, the form must be accompanied by an affidavit that: </w:t>
      </w:r>
    </w:p>
    <w:p w:rsidR="00746783" w:rsidRDefault="00157749" w:rsidP="00746783">
      <w:pPr>
        <w:pStyle w:val="ListParagraph"/>
        <w:numPr>
          <w:ilvl w:val="1"/>
          <w:numId w:val="1"/>
        </w:numPr>
      </w:pPr>
      <w:r>
        <w:t>v</w:t>
      </w:r>
      <w:r w:rsidR="00746783">
        <w:t xml:space="preserve">erifies the debt; and </w:t>
      </w:r>
    </w:p>
    <w:p w:rsidR="00746783" w:rsidRDefault="00157749" w:rsidP="00746783">
      <w:pPr>
        <w:pStyle w:val="ListParagraph"/>
        <w:numPr>
          <w:ilvl w:val="1"/>
          <w:numId w:val="1"/>
        </w:numPr>
      </w:pPr>
      <w:r>
        <w:t>c</w:t>
      </w:r>
      <w:r w:rsidR="00881B72">
        <w:t>ompli</w:t>
      </w:r>
      <w:r w:rsidR="00746783">
        <w:t xml:space="preserve">es with the rules – those </w:t>
      </w:r>
      <w:r w:rsidR="007E2C4B">
        <w:t xml:space="preserve">being the rules of the relevant </w:t>
      </w:r>
      <w:r w:rsidR="00804C96">
        <w:t xml:space="preserve">Court </w:t>
      </w:r>
      <w:r w:rsidR="00FE2B12">
        <w:t xml:space="preserve">(i.e. Supreme Court of Western Australia, Federal Court of Australia </w:t>
      </w:r>
      <w:r w:rsidR="00881B72">
        <w:t>etc.</w:t>
      </w:r>
      <w:r w:rsidR="00FE2B12">
        <w:t xml:space="preserve">). </w:t>
      </w:r>
    </w:p>
    <w:p w:rsidR="000536AC" w:rsidRDefault="000536AC" w:rsidP="000536AC"/>
    <w:p w:rsidR="000536AC" w:rsidRDefault="000536AC" w:rsidP="000536AC">
      <w:r>
        <w:t xml:space="preserve">In practice, there are a number of interesting considerations that arise in relation to Statutory Demands. </w:t>
      </w:r>
    </w:p>
    <w:p w:rsidR="000536AC" w:rsidRDefault="000536AC" w:rsidP="000536AC"/>
    <w:p w:rsidR="000F482A" w:rsidRDefault="000F482A" w:rsidP="000536AC">
      <w:pPr>
        <w:rPr>
          <w:b/>
        </w:rPr>
      </w:pPr>
      <w:r>
        <w:rPr>
          <w:b/>
        </w:rPr>
        <w:t>Service</w:t>
      </w:r>
    </w:p>
    <w:p w:rsidR="000F482A" w:rsidRDefault="000F482A" w:rsidP="000536AC">
      <w:pPr>
        <w:rPr>
          <w:b/>
        </w:rPr>
      </w:pPr>
    </w:p>
    <w:p w:rsidR="000F482A" w:rsidRDefault="000F482A" w:rsidP="000536AC">
      <w:r>
        <w:t>The most common means of service is by leaving the Statutory Demand at the company’</w:t>
      </w:r>
      <w:r w:rsidR="002C24AC">
        <w:t xml:space="preserve">s registered office, or by delivering a copy personally to a director of the company. </w:t>
      </w:r>
    </w:p>
    <w:p w:rsidR="002C24AC" w:rsidRDefault="002C24AC" w:rsidP="000536AC"/>
    <w:p w:rsidR="002C24AC" w:rsidRPr="000F482A" w:rsidRDefault="002C24AC" w:rsidP="000536AC">
      <w:r>
        <w:t>If a creditor is aware that the company no longer resides at a</w:t>
      </w:r>
      <w:r w:rsidR="00201B4D">
        <w:t xml:space="preserve"> particular registered office and the creditor knows the details of the new </w:t>
      </w:r>
      <w:r w:rsidR="00804C96">
        <w:t>address</w:t>
      </w:r>
      <w:r w:rsidR="00201B4D">
        <w:t xml:space="preserve">, then the new address should be used. </w:t>
      </w:r>
    </w:p>
    <w:p w:rsidR="000F482A" w:rsidRDefault="000F482A" w:rsidP="000536AC">
      <w:pPr>
        <w:rPr>
          <w:b/>
        </w:rPr>
      </w:pPr>
    </w:p>
    <w:p w:rsidR="000536AC" w:rsidRDefault="00586C31" w:rsidP="000536AC">
      <w:pPr>
        <w:rPr>
          <w:b/>
        </w:rPr>
      </w:pPr>
      <w:r>
        <w:rPr>
          <w:b/>
        </w:rPr>
        <w:t>Statutory Demands</w:t>
      </w:r>
      <w:r w:rsidR="000536AC" w:rsidRPr="000536AC">
        <w:rPr>
          <w:b/>
        </w:rPr>
        <w:t xml:space="preserve"> can be ‘set aside’ </w:t>
      </w:r>
    </w:p>
    <w:p w:rsidR="00C2271C" w:rsidRDefault="00C2271C" w:rsidP="000536AC">
      <w:pPr>
        <w:rPr>
          <w:b/>
        </w:rPr>
      </w:pPr>
    </w:p>
    <w:p w:rsidR="00C2271C" w:rsidRDefault="00C2271C" w:rsidP="000536AC">
      <w:r w:rsidRPr="00C2271C">
        <w:t>If a clie</w:t>
      </w:r>
      <w:r>
        <w:t xml:space="preserve">nt </w:t>
      </w:r>
      <w:r w:rsidR="002B4F43">
        <w:t xml:space="preserve">issues or </w:t>
      </w:r>
      <w:r>
        <w:t xml:space="preserve">receives a Statutory Demand and one or more of </w:t>
      </w:r>
      <w:r w:rsidR="00CA2B78">
        <w:t xml:space="preserve">the </w:t>
      </w:r>
      <w:r>
        <w:t xml:space="preserve">circumstances </w:t>
      </w:r>
      <w:r w:rsidR="00CA2B78">
        <w:t>discussed below exist,</w:t>
      </w:r>
      <w:r>
        <w:t xml:space="preserve"> </w:t>
      </w:r>
      <w:r w:rsidR="00CA2B78">
        <w:t>the</w:t>
      </w:r>
      <w:r w:rsidR="0007232C">
        <w:t>y should be aware that the</w:t>
      </w:r>
      <w:r>
        <w:t xml:space="preserve"> Statutory Demand can be </w:t>
      </w:r>
      <w:r w:rsidR="0007232C">
        <w:t>‘</w:t>
      </w:r>
      <w:r>
        <w:t>set aside</w:t>
      </w:r>
      <w:r w:rsidR="0007232C">
        <w:t>’</w:t>
      </w:r>
      <w:r>
        <w:t xml:space="preserve"> by the </w:t>
      </w:r>
      <w:r w:rsidR="00804C96">
        <w:t>Court</w:t>
      </w:r>
      <w:r>
        <w:t xml:space="preserve">. </w:t>
      </w:r>
    </w:p>
    <w:p w:rsidR="00C2271C" w:rsidRDefault="00C2271C" w:rsidP="000536AC"/>
    <w:p w:rsidR="00C2271C" w:rsidRDefault="00C2271C" w:rsidP="000536AC">
      <w:r>
        <w:t xml:space="preserve">If the intention is to apply to have the Statutory Demand set aside, an application must be made under section </w:t>
      </w:r>
      <w:r w:rsidR="00A27BF1">
        <w:t xml:space="preserve">459G within the 21 days following the service of the demand. </w:t>
      </w:r>
      <w:r w:rsidR="00CA2B78">
        <w:t xml:space="preserve">So time is of the essence – do not delay. </w:t>
      </w:r>
    </w:p>
    <w:p w:rsidR="00A27BF1" w:rsidRDefault="00A27BF1" w:rsidP="000536AC"/>
    <w:p w:rsidR="00A27BF1" w:rsidRDefault="00A27BF1" w:rsidP="000536AC">
      <w:r>
        <w:t xml:space="preserve">The application must be more substantive than simply “this debt is not owed”. </w:t>
      </w:r>
      <w:r w:rsidR="00B44AB0">
        <w:t>In fact, a</w:t>
      </w:r>
      <w:r w:rsidR="007D7FBE">
        <w:t xml:space="preserve">n affidavit must be filed with the application that contains </w:t>
      </w:r>
      <w:r w:rsidR="00B44AB0">
        <w:t>details about why the demand is refuted and it must</w:t>
      </w:r>
      <w:r w:rsidR="00804C96">
        <w:t xml:space="preserve"> be as complete as possible – an </w:t>
      </w:r>
      <w:r w:rsidR="00B44AB0">
        <w:t xml:space="preserve">affidavit </w:t>
      </w:r>
      <w:r w:rsidR="00804C96">
        <w:t xml:space="preserve">or a supplementary affidavit </w:t>
      </w:r>
      <w:r w:rsidR="00B44AB0">
        <w:t xml:space="preserve">filed after the 21 days has expired will not be considered by the </w:t>
      </w:r>
      <w:r w:rsidR="00804C96">
        <w:t>Court</w:t>
      </w:r>
      <w:r w:rsidR="00B44AB0">
        <w:t xml:space="preserve">. </w:t>
      </w:r>
    </w:p>
    <w:p w:rsidR="00586C31" w:rsidRDefault="00586C31" w:rsidP="000536AC"/>
    <w:p w:rsidR="00586C31" w:rsidRDefault="00586C31" w:rsidP="000536AC">
      <w:r>
        <w:t xml:space="preserve">The reasons that a </w:t>
      </w:r>
      <w:r w:rsidR="00804C96">
        <w:t xml:space="preserve">Court </w:t>
      </w:r>
      <w:r>
        <w:t xml:space="preserve">may set aside a Statutory Demand include: </w:t>
      </w:r>
    </w:p>
    <w:p w:rsidR="00586C31" w:rsidRDefault="00586C31" w:rsidP="000536AC"/>
    <w:p w:rsidR="00586C31" w:rsidRDefault="00586C31" w:rsidP="00586C31">
      <w:pPr>
        <w:pStyle w:val="ListParagraph"/>
        <w:numPr>
          <w:ilvl w:val="0"/>
          <w:numId w:val="2"/>
        </w:numPr>
      </w:pPr>
      <w:r>
        <w:t xml:space="preserve">The debt is less that the statutory minimum of $2,000 </w:t>
      </w:r>
      <w:r w:rsidR="00AD572B">
        <w:t xml:space="preserve">(section 459H) </w:t>
      </w:r>
    </w:p>
    <w:p w:rsidR="00586C31" w:rsidRDefault="00586C31" w:rsidP="00586C31">
      <w:pPr>
        <w:pStyle w:val="ListParagraph"/>
        <w:numPr>
          <w:ilvl w:val="0"/>
          <w:numId w:val="2"/>
        </w:numPr>
      </w:pPr>
      <w:r>
        <w:lastRenderedPageBreak/>
        <w:t xml:space="preserve">There is a defect in the Statutory Demand that </w:t>
      </w:r>
      <w:r w:rsidR="00AD572B">
        <w:t>would cause substantial injustice if it were not to be set aside (section 459J(1)(a))</w:t>
      </w:r>
    </w:p>
    <w:p w:rsidR="00B0441C" w:rsidRDefault="00B0441C" w:rsidP="00B0441C">
      <w:pPr>
        <w:pStyle w:val="ListParagraph"/>
        <w:numPr>
          <w:ilvl w:val="1"/>
          <w:numId w:val="2"/>
        </w:numPr>
      </w:pPr>
      <w:r>
        <w:t>A minor defect or irregularity would most likely not be seen as fatal, however</w:t>
      </w:r>
      <w:r w:rsidR="00C748CC">
        <w:t xml:space="preserve"> the </w:t>
      </w:r>
      <w:r w:rsidR="007F5001">
        <w:t xml:space="preserve">overall </w:t>
      </w:r>
      <w:r w:rsidR="00C748CC">
        <w:t xml:space="preserve">impact of the </w:t>
      </w:r>
      <w:r w:rsidR="007F5001">
        <w:t xml:space="preserve">defect can be a subjective call in the eyes of the </w:t>
      </w:r>
      <w:r w:rsidR="00804C96">
        <w:t xml:space="preserve">Court </w:t>
      </w:r>
    </w:p>
    <w:p w:rsidR="00AD572B" w:rsidRDefault="00555CDC" w:rsidP="00586C31">
      <w:pPr>
        <w:pStyle w:val="ListParagraph"/>
        <w:numPr>
          <w:ilvl w:val="0"/>
          <w:numId w:val="2"/>
        </w:numPr>
      </w:pPr>
      <w:r>
        <w:t xml:space="preserve">There is some other reason why the demand should be set aside (section 459J(1)(b)) </w:t>
      </w:r>
    </w:p>
    <w:p w:rsidR="007917D3" w:rsidRDefault="007917D3" w:rsidP="007917D3"/>
    <w:p w:rsidR="007917D3" w:rsidRDefault="007917D3" w:rsidP="007917D3">
      <w:r>
        <w:t xml:space="preserve">One of the most common reasons to set aside a Statutory Demand is </w:t>
      </w:r>
      <w:r w:rsidR="00804C96">
        <w:t>the existence</w:t>
      </w:r>
      <w:r>
        <w:t xml:space="preserve"> of a ‘genuine dispute’ as to the</w:t>
      </w:r>
      <w:r w:rsidR="00804C96">
        <w:t xml:space="preserve"> whole</w:t>
      </w:r>
      <w:r>
        <w:t xml:space="preserve"> quantum or nature of the debt. </w:t>
      </w:r>
      <w:r w:rsidR="00FB6D37">
        <w:t xml:space="preserve">This means that the dispute must be genuine and the grounds for disputing the </w:t>
      </w:r>
      <w:r w:rsidR="00804C96">
        <w:t xml:space="preserve">entire </w:t>
      </w:r>
      <w:r w:rsidR="00FB6D37">
        <w:t xml:space="preserve">debt must not be </w:t>
      </w:r>
      <w:r w:rsidR="00180B9F">
        <w:t xml:space="preserve">spurious, hypothetical, illusory or misconceived (credit for those </w:t>
      </w:r>
      <w:r w:rsidR="00615B12">
        <w:t xml:space="preserve">clever words goes </w:t>
      </w:r>
      <w:r w:rsidR="00180B9F">
        <w:t xml:space="preserve">to Austin J in Goldspar Australia Pty Limited v KSW Design Group Pty Limited </w:t>
      </w:r>
      <w:r w:rsidR="00615B12">
        <w:t xml:space="preserve">[1998] NSWSC 502). </w:t>
      </w:r>
    </w:p>
    <w:p w:rsidR="00201B4D" w:rsidRDefault="00201B4D" w:rsidP="007917D3"/>
    <w:p w:rsidR="00201B4D" w:rsidRDefault="00201B4D" w:rsidP="007917D3">
      <w:pPr>
        <w:rPr>
          <w:b/>
        </w:rPr>
      </w:pPr>
      <w:r>
        <w:rPr>
          <w:b/>
        </w:rPr>
        <w:t xml:space="preserve">Presumption of insolvency </w:t>
      </w:r>
      <w:r w:rsidR="00D24661">
        <w:rPr>
          <w:b/>
        </w:rPr>
        <w:t xml:space="preserve">in a subsequent winding up application </w:t>
      </w:r>
    </w:p>
    <w:p w:rsidR="00201B4D" w:rsidRDefault="00201B4D" w:rsidP="007917D3">
      <w:pPr>
        <w:rPr>
          <w:b/>
        </w:rPr>
      </w:pPr>
    </w:p>
    <w:p w:rsidR="00201B4D" w:rsidRDefault="00201B4D" w:rsidP="007917D3">
      <w:r>
        <w:t xml:space="preserve">Aside from eliciting a payment, which is the ideal outcome for </w:t>
      </w:r>
      <w:r w:rsidR="008F1BC5">
        <w:t xml:space="preserve">a </w:t>
      </w:r>
      <w:r>
        <w:t>creditor</w:t>
      </w:r>
      <w:r w:rsidR="007F5001">
        <w:t xml:space="preserve"> that is owed the money</w:t>
      </w:r>
      <w:r>
        <w:t>, a Statutory Demand that</w:t>
      </w:r>
      <w:r w:rsidR="00010BA5">
        <w:t xml:space="preserve"> later expires can be used as a </w:t>
      </w:r>
      <w:r w:rsidR="00452F92">
        <w:t>‘</w:t>
      </w:r>
      <w:r w:rsidR="00010BA5">
        <w:t>presumption of insol</w:t>
      </w:r>
      <w:r w:rsidR="00A44C3C">
        <w:t>vency</w:t>
      </w:r>
      <w:r w:rsidR="00452F92">
        <w:t>’</w:t>
      </w:r>
      <w:r w:rsidR="00A44C3C">
        <w:t xml:space="preserve"> in a winding up </w:t>
      </w:r>
      <w:r w:rsidR="00D24661">
        <w:t>application</w:t>
      </w:r>
      <w:r w:rsidR="00A44C3C">
        <w:t xml:space="preserve"> to be heard before a </w:t>
      </w:r>
      <w:r w:rsidR="008F1BC5">
        <w:t>Court</w:t>
      </w:r>
      <w:r w:rsidR="00A44C3C">
        <w:t xml:space="preserve">. Section 459C lists </w:t>
      </w:r>
      <w:r w:rsidR="00E044B5">
        <w:t>the</w:t>
      </w:r>
      <w:r w:rsidR="00A44C3C">
        <w:t xml:space="preserve"> presumptions that the </w:t>
      </w:r>
      <w:r w:rsidR="008F1BC5">
        <w:t xml:space="preserve">Court </w:t>
      </w:r>
      <w:r w:rsidR="00A44C3C">
        <w:t>must adhere to, howev</w:t>
      </w:r>
      <w:r w:rsidR="00836B9F">
        <w:t>e</w:t>
      </w:r>
      <w:r w:rsidR="00452F92">
        <w:t xml:space="preserve">r there is a three month limit to be aware of. </w:t>
      </w:r>
    </w:p>
    <w:p w:rsidR="00836B9F" w:rsidRDefault="00836B9F" w:rsidP="007917D3"/>
    <w:p w:rsidR="00836B9F" w:rsidRDefault="00836B9F" w:rsidP="007917D3">
      <w:r>
        <w:t xml:space="preserve">In other words, a winding up </w:t>
      </w:r>
      <w:r w:rsidR="00452F92">
        <w:t>application</w:t>
      </w:r>
      <w:r>
        <w:t xml:space="preserve"> commenced by a creditor </w:t>
      </w:r>
      <w:r w:rsidR="00D24661">
        <w:t>can</w:t>
      </w:r>
      <w:r>
        <w:t xml:space="preserve"> rely</w:t>
      </w:r>
      <w:r w:rsidR="00EE1CC2">
        <w:t xml:space="preserve"> on the debtor’s failure to comply with a Statutory Demand as a presumption</w:t>
      </w:r>
      <w:r w:rsidR="00D24661">
        <w:t xml:space="preserve"> of insolvency</w:t>
      </w:r>
      <w:r w:rsidR="005017B8">
        <w:t xml:space="preserve"> only</w:t>
      </w:r>
      <w:r w:rsidR="00D24661">
        <w:t xml:space="preserve"> </w:t>
      </w:r>
      <w:r w:rsidR="00EE1CC2">
        <w:t xml:space="preserve">if the winding up application is lodged </w:t>
      </w:r>
      <w:r w:rsidR="00EE1CC2" w:rsidRPr="008F1BC5">
        <w:rPr>
          <w:highlight w:val="yellow"/>
        </w:rPr>
        <w:t xml:space="preserve">within three months of </w:t>
      </w:r>
      <w:r w:rsidR="00EE1CC2" w:rsidRPr="008F1BC5">
        <w:rPr>
          <w:highlight w:val="yellow"/>
          <w:u w:val="single"/>
        </w:rPr>
        <w:t>service</w:t>
      </w:r>
      <w:r w:rsidR="00EE1CC2" w:rsidRPr="008F1BC5">
        <w:rPr>
          <w:highlight w:val="yellow"/>
        </w:rPr>
        <w:t xml:space="preserve"> of the Statutory Demand. </w:t>
      </w:r>
      <w:r w:rsidRPr="008F1BC5">
        <w:rPr>
          <w:highlight w:val="yellow"/>
        </w:rPr>
        <w:t xml:space="preserve"> </w:t>
      </w:r>
      <w:r w:rsidR="008F1BC5" w:rsidRPr="008F1BC5">
        <w:rPr>
          <w:highlight w:val="yellow"/>
        </w:rPr>
        <w:t>QUERY ON WHETHER THIS IS AFTER THE EXPIRY OF THE DEMAND</w:t>
      </w:r>
    </w:p>
    <w:p w:rsidR="00CB4388" w:rsidRDefault="00CB4388" w:rsidP="007917D3"/>
    <w:p w:rsidR="00CA713D" w:rsidRDefault="00CB4388" w:rsidP="007917D3">
      <w:r>
        <w:t>Recipients of Statutory Demands should also be aware</w:t>
      </w:r>
      <w:r w:rsidR="008F1BC5">
        <w:t xml:space="preserve"> that</w:t>
      </w:r>
      <w:r>
        <w:t xml:space="preserve"> </w:t>
      </w:r>
      <w:r w:rsidR="00CA713D">
        <w:t>once a</w:t>
      </w:r>
      <w:r>
        <w:t xml:space="preserve"> winding up application is filed, directors and shareholders cannot voluntarily resolve to place the company into liquidation. </w:t>
      </w:r>
    </w:p>
    <w:p w:rsidR="00CA713D" w:rsidRDefault="00CA713D" w:rsidP="007917D3"/>
    <w:p w:rsidR="00D24661" w:rsidRDefault="00CB4388" w:rsidP="007917D3">
      <w:r>
        <w:t xml:space="preserve">The only voluntary </w:t>
      </w:r>
      <w:r w:rsidR="008F1BC5">
        <w:t xml:space="preserve">formal </w:t>
      </w:r>
      <w:r>
        <w:t xml:space="preserve">option once a winding up petition has been filed </w:t>
      </w:r>
      <w:r w:rsidR="008F1BC5">
        <w:t xml:space="preserve">with the Court </w:t>
      </w:r>
      <w:r>
        <w:t xml:space="preserve">is to appoint a Voluntary Administrator, however the </w:t>
      </w:r>
      <w:r w:rsidR="008F1BC5">
        <w:t xml:space="preserve">Court </w:t>
      </w:r>
      <w:r>
        <w:t>would need to be sat</w:t>
      </w:r>
      <w:bookmarkStart w:id="0" w:name="_GoBack"/>
      <w:bookmarkEnd w:id="0"/>
      <w:r>
        <w:t xml:space="preserve">isfied that </w:t>
      </w:r>
      <w:r w:rsidR="005017B8">
        <w:t>the Voluntary Administration and a</w:t>
      </w:r>
      <w:r>
        <w:t xml:space="preserve"> </w:t>
      </w:r>
      <w:r w:rsidR="008F1BC5">
        <w:t xml:space="preserve">subsequent </w:t>
      </w:r>
      <w:r>
        <w:t xml:space="preserve">Deed of Company Arrangement </w:t>
      </w:r>
      <w:r w:rsidR="005017B8">
        <w:t xml:space="preserve">proposal </w:t>
      </w:r>
      <w:r>
        <w:t>wa</w:t>
      </w:r>
      <w:r w:rsidR="000F5003">
        <w:t xml:space="preserve">s a viable and realistic option, which would result in a stay of the winding up application. </w:t>
      </w:r>
    </w:p>
    <w:p w:rsidR="00D24661" w:rsidRDefault="00D24661" w:rsidP="007917D3"/>
    <w:p w:rsidR="00CB4388" w:rsidRDefault="00F877C6" w:rsidP="007917D3">
      <w:r>
        <w:t>This is not a</w:t>
      </w:r>
      <w:r w:rsidR="000F5003">
        <w:t xml:space="preserve"> </w:t>
      </w:r>
      <w:r w:rsidR="00F92E0B">
        <w:t>simple</w:t>
      </w:r>
      <w:r w:rsidR="000F5003">
        <w:t xml:space="preserve"> process and our observation is that the </w:t>
      </w:r>
      <w:r w:rsidR="008F1BC5">
        <w:t xml:space="preserve">Courts </w:t>
      </w:r>
      <w:r w:rsidR="000F5003">
        <w:t xml:space="preserve">are increasingly ordering companies </w:t>
      </w:r>
      <w:r w:rsidR="00CA713D">
        <w:t xml:space="preserve">should </w:t>
      </w:r>
      <w:r w:rsidR="000F5003">
        <w:t xml:space="preserve">go into liquidation, despite a Voluntary Administrator </w:t>
      </w:r>
      <w:r w:rsidR="008F1BC5">
        <w:t>having been appointed after the filing of a winding up application but before the Court hearing to wind up the company</w:t>
      </w:r>
      <w:r w:rsidR="000F5003">
        <w:t xml:space="preserve">. </w:t>
      </w:r>
    </w:p>
    <w:p w:rsidR="00452F92" w:rsidRDefault="00452F92" w:rsidP="007917D3"/>
    <w:p w:rsidR="00452F92" w:rsidRDefault="00216270" w:rsidP="007917D3">
      <w:pPr>
        <w:rPr>
          <w:b/>
        </w:rPr>
      </w:pPr>
      <w:r>
        <w:rPr>
          <w:b/>
        </w:rPr>
        <w:t xml:space="preserve">Key takeaways to be aware of </w:t>
      </w:r>
    </w:p>
    <w:p w:rsidR="00216270" w:rsidRDefault="00216270" w:rsidP="007917D3">
      <w:pPr>
        <w:rPr>
          <w:b/>
        </w:rPr>
      </w:pPr>
    </w:p>
    <w:p w:rsidR="0038482E" w:rsidRDefault="00216270" w:rsidP="007917D3">
      <w:r>
        <w:t>Statutory Demand</w:t>
      </w:r>
      <w:r w:rsidR="007E0102">
        <w:t>s</w:t>
      </w:r>
      <w:r>
        <w:t xml:space="preserve"> should be respected</w:t>
      </w:r>
      <w:r w:rsidR="008F214B">
        <w:t xml:space="preserve">. This means that they should only be issued as part of a genuine </w:t>
      </w:r>
      <w:r w:rsidR="0038482E">
        <w:t xml:space="preserve">debt </w:t>
      </w:r>
      <w:r w:rsidR="008F214B">
        <w:t xml:space="preserve">recovery process </w:t>
      </w:r>
      <w:r w:rsidR="0038482E">
        <w:t xml:space="preserve">or challenged where a genuine dispute exists. </w:t>
      </w:r>
    </w:p>
    <w:p w:rsidR="0038482E" w:rsidRDefault="0038482E" w:rsidP="007917D3"/>
    <w:p w:rsidR="00216270" w:rsidRDefault="0038482E" w:rsidP="007917D3">
      <w:r>
        <w:t xml:space="preserve">Creditors </w:t>
      </w:r>
      <w:r w:rsidR="008F1BC5">
        <w:t>ought to</w:t>
      </w:r>
      <w:r>
        <w:t xml:space="preserve"> be aware that </w:t>
      </w:r>
      <w:r w:rsidR="008F1BC5">
        <w:t>Statutory Demands</w:t>
      </w:r>
      <w:r w:rsidR="00B82C7C">
        <w:t xml:space="preserve"> can be set aside, so it is time and money well spent to get the ducks lined up before the demand is served. </w:t>
      </w:r>
    </w:p>
    <w:p w:rsidR="00CA713D" w:rsidRDefault="00CA713D" w:rsidP="007917D3"/>
    <w:p w:rsidR="00CA713D" w:rsidRDefault="00CA713D" w:rsidP="007917D3">
      <w:r>
        <w:t xml:space="preserve">Debtors should be aware of their options to set aside a Statutory Demand </w:t>
      </w:r>
      <w:r w:rsidR="007E0102">
        <w:t>and critically the timeframe to do so</w:t>
      </w:r>
      <w:r w:rsidR="00015FD6">
        <w:t>, i.e. within the 21 day Statutory Demand period</w:t>
      </w:r>
      <w:r w:rsidR="007E0102">
        <w:t>. Failure to comply</w:t>
      </w:r>
      <w:r w:rsidR="00015FD6">
        <w:t xml:space="preserve"> means </w:t>
      </w:r>
      <w:r w:rsidR="00DB2518">
        <w:t xml:space="preserve">the creditor </w:t>
      </w:r>
      <w:r w:rsidR="00015FD6">
        <w:t>may commence a winding up application to wind up the debtor company.</w:t>
      </w:r>
    </w:p>
    <w:p w:rsidR="00DB2518" w:rsidRDefault="00DB2518" w:rsidP="007917D3"/>
    <w:p w:rsidR="00452F92" w:rsidRPr="00452F92" w:rsidRDefault="00DB2518" w:rsidP="007917D3">
      <w:pPr>
        <w:rPr>
          <w:b/>
        </w:rPr>
      </w:pPr>
      <w:r>
        <w:t xml:space="preserve">If you have a client who has any queries about Statutory Demands, please feel free to get in touch with me. I am happy to be a sounding board on any issues that may come up in relation to any insolvency </w:t>
      </w:r>
      <w:r w:rsidR="0017082C">
        <w:t xml:space="preserve">matters. </w:t>
      </w:r>
      <w:r>
        <w:t xml:space="preserve"> </w:t>
      </w:r>
    </w:p>
    <w:p w:rsidR="00615B12" w:rsidRDefault="00615B12" w:rsidP="007917D3"/>
    <w:p w:rsidR="00615B12" w:rsidRPr="00F92E0B" w:rsidRDefault="000F482A" w:rsidP="007917D3">
      <w:pPr>
        <w:rPr>
          <w:sz w:val="16"/>
          <w:szCs w:val="16"/>
        </w:rPr>
      </w:pPr>
      <w:r w:rsidRPr="00F92E0B">
        <w:rPr>
          <w:sz w:val="16"/>
          <w:szCs w:val="16"/>
        </w:rPr>
        <w:t xml:space="preserve">Disclaimer </w:t>
      </w:r>
    </w:p>
    <w:p w:rsidR="000F482A" w:rsidRPr="00F92E0B" w:rsidRDefault="000F482A" w:rsidP="007917D3">
      <w:pPr>
        <w:rPr>
          <w:sz w:val="16"/>
          <w:szCs w:val="16"/>
        </w:rPr>
      </w:pPr>
    </w:p>
    <w:p w:rsidR="000F482A" w:rsidRPr="00F92E0B" w:rsidRDefault="000F482A" w:rsidP="007917D3">
      <w:pPr>
        <w:rPr>
          <w:sz w:val="16"/>
          <w:szCs w:val="16"/>
        </w:rPr>
      </w:pPr>
      <w:r w:rsidRPr="00F92E0B">
        <w:rPr>
          <w:sz w:val="16"/>
          <w:szCs w:val="16"/>
        </w:rPr>
        <w:t>Please note that this article does not constitute legal advice</w:t>
      </w:r>
      <w:r w:rsidR="00232C4A" w:rsidRPr="00F92E0B">
        <w:rPr>
          <w:sz w:val="16"/>
          <w:szCs w:val="16"/>
        </w:rPr>
        <w:t xml:space="preserve"> and you should not rely upon it</w:t>
      </w:r>
      <w:r w:rsidRPr="00F92E0B">
        <w:rPr>
          <w:sz w:val="16"/>
          <w:szCs w:val="16"/>
        </w:rPr>
        <w:t xml:space="preserve">. You should always consult your legal representatives on </w:t>
      </w:r>
      <w:r w:rsidR="00232C4A" w:rsidRPr="00F92E0B">
        <w:rPr>
          <w:sz w:val="16"/>
          <w:szCs w:val="16"/>
        </w:rPr>
        <w:t>matters of this nature. We at HLB Mann J</w:t>
      </w:r>
      <w:r w:rsidR="00015FD6">
        <w:rPr>
          <w:sz w:val="16"/>
          <w:szCs w:val="16"/>
        </w:rPr>
        <w:t>udd Insolvency WA are happy to p</w:t>
      </w:r>
      <w:r w:rsidR="00232C4A" w:rsidRPr="00F92E0B">
        <w:rPr>
          <w:sz w:val="16"/>
          <w:szCs w:val="16"/>
        </w:rPr>
        <w:t xml:space="preserve">ut you in contact with legal specialists who deal with these matters. Please feel free to contact us on 08 9215 7900 if you require any further assistance. </w:t>
      </w:r>
    </w:p>
    <w:p w:rsidR="00555CDC" w:rsidRPr="00C2271C" w:rsidRDefault="00555CDC" w:rsidP="009958A6">
      <w:pPr>
        <w:ind w:left="360"/>
      </w:pPr>
    </w:p>
    <w:p w:rsidR="00C2271C" w:rsidRPr="000536AC" w:rsidRDefault="00C2271C" w:rsidP="000536AC">
      <w:pPr>
        <w:rPr>
          <w:b/>
        </w:rPr>
      </w:pPr>
    </w:p>
    <w:p w:rsidR="000536AC" w:rsidRDefault="000536AC" w:rsidP="000536AC"/>
    <w:p w:rsidR="000536AC" w:rsidRDefault="000536AC" w:rsidP="000536AC"/>
    <w:p w:rsidR="000536AC" w:rsidRDefault="000536AC" w:rsidP="000536AC">
      <w:r>
        <w:lastRenderedPageBreak/>
        <w:t xml:space="preserve"> </w:t>
      </w:r>
    </w:p>
    <w:p w:rsidR="00CC7ADC" w:rsidRPr="007D113D" w:rsidRDefault="00CC7ADC" w:rsidP="007D113D">
      <w:pPr>
        <w:pStyle w:val="ListParagraph"/>
        <w:numPr>
          <w:ilvl w:val="0"/>
          <w:numId w:val="6"/>
        </w:numPr>
        <w:rPr>
          <w:b/>
        </w:rPr>
      </w:pPr>
      <w:r w:rsidRPr="007D113D">
        <w:rPr>
          <w:b/>
        </w:rPr>
        <w:t xml:space="preserve">Travelling during bankruptcy </w:t>
      </w:r>
    </w:p>
    <w:p w:rsidR="00CC7ADC" w:rsidRDefault="00CC7ADC">
      <w:pPr>
        <w:rPr>
          <w:b/>
        </w:rPr>
      </w:pPr>
      <w:r>
        <w:rPr>
          <w:b/>
        </w:rPr>
        <w:t xml:space="preserve">Dispelling the </w:t>
      </w:r>
      <w:r w:rsidR="0093216E">
        <w:rPr>
          <w:b/>
        </w:rPr>
        <w:t xml:space="preserve">myths </w:t>
      </w:r>
    </w:p>
    <w:p w:rsidR="0093216E" w:rsidRDefault="0093216E">
      <w:pPr>
        <w:rPr>
          <w:b/>
        </w:rPr>
      </w:pPr>
    </w:p>
    <w:p w:rsidR="0093216E" w:rsidRDefault="0093216E">
      <w:r>
        <w:t xml:space="preserve">Let’s face it – personal bankruptcy is not great. I have written </w:t>
      </w:r>
      <w:r w:rsidRPr="00F11FE9">
        <w:rPr>
          <w:highlight w:val="yellow"/>
          <w:u w:val="single"/>
        </w:rPr>
        <w:t>articles in the past</w:t>
      </w:r>
      <w:r>
        <w:t xml:space="preserve"> about </w:t>
      </w:r>
      <w:r w:rsidR="004C1EE2">
        <w:t xml:space="preserve">how the regime works and the positive (yes, positive) and negative aspects about going bankrupt. </w:t>
      </w:r>
    </w:p>
    <w:p w:rsidR="004C1EE2" w:rsidRDefault="004C1EE2"/>
    <w:p w:rsidR="004C1EE2" w:rsidRDefault="004C1EE2">
      <w:r>
        <w:t>A common question that comes up</w:t>
      </w:r>
      <w:r w:rsidR="006D36B9">
        <w:t xml:space="preserve"> when I meet people</w:t>
      </w:r>
      <w:r>
        <w:t xml:space="preserve">, which can often prove to be the biggest area of concern, relates to a bankrupt’s ability to travel internationally. </w:t>
      </w:r>
    </w:p>
    <w:p w:rsidR="008D7A76" w:rsidRDefault="008D7A76"/>
    <w:p w:rsidR="00080084" w:rsidRDefault="008D7A76">
      <w:r>
        <w:t>A</w:t>
      </w:r>
      <w:r w:rsidR="006D36B9">
        <w:t>s the saying goes, a</w:t>
      </w:r>
      <w:r>
        <w:t xml:space="preserve"> little bit of knowledge is a dangerous thing, and</w:t>
      </w:r>
      <w:r w:rsidR="00555845">
        <w:t xml:space="preserve"> it can prove quite unsettling </w:t>
      </w:r>
      <w:r w:rsidR="00D07462">
        <w:t>when someone learns</w:t>
      </w:r>
      <w:r w:rsidR="00A36716">
        <w:t>,</w:t>
      </w:r>
      <w:r w:rsidR="00D07462">
        <w:t xml:space="preserve"> from an unreliable source</w:t>
      </w:r>
      <w:r w:rsidR="00A36716">
        <w:t>,</w:t>
      </w:r>
      <w:r w:rsidR="00555845">
        <w:t xml:space="preserve"> that they cannot travel overseas if they become bankrupt. </w:t>
      </w:r>
    </w:p>
    <w:p w:rsidR="00080084" w:rsidRDefault="00080084"/>
    <w:p w:rsidR="00D07462" w:rsidRDefault="00357573">
      <w:r>
        <w:t>Aside from</w:t>
      </w:r>
      <w:r w:rsidR="006D36B9">
        <w:t xml:space="preserve"> holidays</w:t>
      </w:r>
      <w:r>
        <w:t>, a major pain point for people is the</w:t>
      </w:r>
      <w:r w:rsidR="00C75A0C">
        <w:t xml:space="preserve"> incorrect perception that they will be unable</w:t>
      </w:r>
      <w:r>
        <w:t xml:space="preserve"> to tra</w:t>
      </w:r>
      <w:r w:rsidR="00080084">
        <w:t xml:space="preserve">vel overseas to attend a wedding, care for a sick relation </w:t>
      </w:r>
      <w:r w:rsidR="00C75A0C">
        <w:t>or</w:t>
      </w:r>
      <w:r w:rsidR="00080084">
        <w:t xml:space="preserve"> sadly, attend a funeral</w:t>
      </w:r>
      <w:r w:rsidR="00C75A0C">
        <w:t xml:space="preserve"> of a family member or friend</w:t>
      </w:r>
      <w:r w:rsidR="00080084">
        <w:t xml:space="preserve">. </w:t>
      </w:r>
      <w:r w:rsidR="00870573">
        <w:t xml:space="preserve"> </w:t>
      </w:r>
    </w:p>
    <w:p w:rsidR="00D07462" w:rsidRDefault="00D07462"/>
    <w:p w:rsidR="008D7A76" w:rsidRDefault="00D07462">
      <w:r>
        <w:t xml:space="preserve">The thing is, a bankrupt individual </w:t>
      </w:r>
      <w:r w:rsidRPr="00D07462">
        <w:rPr>
          <w:u w:val="single"/>
        </w:rPr>
        <w:t>can</w:t>
      </w:r>
      <w:r>
        <w:t xml:space="preserve"> travel overseas – they just need to get their Trustee’s </w:t>
      </w:r>
      <w:r w:rsidRPr="00D07462">
        <w:rPr>
          <w:u w:val="single"/>
        </w:rPr>
        <w:t>permission</w:t>
      </w:r>
      <w:r>
        <w:t xml:space="preserve"> first. </w:t>
      </w:r>
      <w:r w:rsidR="00555845">
        <w:t xml:space="preserve"> </w:t>
      </w:r>
    </w:p>
    <w:p w:rsidR="00D07462" w:rsidRDefault="00D07462"/>
    <w:p w:rsidR="00D07462" w:rsidRDefault="00D07462">
      <w:r>
        <w:t xml:space="preserve">How is permission obtained? </w:t>
      </w:r>
      <w:r w:rsidR="00BB0424">
        <w:t xml:space="preserve">It’s quite easy – </w:t>
      </w:r>
      <w:r w:rsidR="00A36716">
        <w:t xml:space="preserve">you just need to provide the following details: </w:t>
      </w:r>
      <w:r w:rsidR="00BB0424">
        <w:t xml:space="preserve"> </w:t>
      </w:r>
    </w:p>
    <w:p w:rsidR="00BB0424" w:rsidRDefault="00BB0424"/>
    <w:p w:rsidR="001E43B2" w:rsidRDefault="00BB0424" w:rsidP="00BB0424">
      <w:pPr>
        <w:pStyle w:val="ListParagraph"/>
        <w:numPr>
          <w:ilvl w:val="0"/>
          <w:numId w:val="4"/>
        </w:numPr>
      </w:pPr>
      <w:r>
        <w:t xml:space="preserve">The </w:t>
      </w:r>
      <w:r w:rsidRPr="001E43B2">
        <w:rPr>
          <w:b/>
        </w:rPr>
        <w:t>reason</w:t>
      </w:r>
      <w:r>
        <w:t xml:space="preserve"> for travel (holiday, work conference</w:t>
      </w:r>
      <w:r w:rsidR="001E43B2">
        <w:t xml:space="preserve"> </w:t>
      </w:r>
      <w:r w:rsidR="00881B72">
        <w:t>etc.</w:t>
      </w:r>
      <w:r w:rsidR="001E43B2">
        <w:t xml:space="preserve">) </w:t>
      </w:r>
    </w:p>
    <w:p w:rsidR="00BB0424" w:rsidRDefault="001E43B2" w:rsidP="00BB0424">
      <w:pPr>
        <w:pStyle w:val="ListParagraph"/>
        <w:numPr>
          <w:ilvl w:val="0"/>
          <w:numId w:val="4"/>
        </w:numPr>
      </w:pPr>
      <w:r>
        <w:t xml:space="preserve">The </w:t>
      </w:r>
      <w:r w:rsidRPr="001E43B2">
        <w:rPr>
          <w:b/>
        </w:rPr>
        <w:t>dates</w:t>
      </w:r>
      <w:r>
        <w:t xml:space="preserve"> of travel and the </w:t>
      </w:r>
      <w:r w:rsidRPr="001E43B2">
        <w:rPr>
          <w:b/>
        </w:rPr>
        <w:t>countries</w:t>
      </w:r>
      <w:r>
        <w:t xml:space="preserve"> that will be visited </w:t>
      </w:r>
      <w:r w:rsidR="00BB0424">
        <w:t xml:space="preserve"> </w:t>
      </w:r>
    </w:p>
    <w:p w:rsidR="001E43B2" w:rsidRDefault="001E43B2" w:rsidP="00BB0424">
      <w:pPr>
        <w:pStyle w:val="ListParagraph"/>
        <w:numPr>
          <w:ilvl w:val="0"/>
          <w:numId w:val="4"/>
        </w:numPr>
      </w:pPr>
      <w:r w:rsidRPr="001E43B2">
        <w:rPr>
          <w:b/>
        </w:rPr>
        <w:t>Contact details</w:t>
      </w:r>
      <w:r>
        <w:t xml:space="preserve"> for whilst you are away </w:t>
      </w:r>
    </w:p>
    <w:p w:rsidR="001E43B2" w:rsidRDefault="00CF1978" w:rsidP="00BB0424">
      <w:pPr>
        <w:pStyle w:val="ListParagraph"/>
        <w:numPr>
          <w:ilvl w:val="0"/>
          <w:numId w:val="4"/>
        </w:numPr>
      </w:pPr>
      <w:r w:rsidRPr="00CF1978">
        <w:t xml:space="preserve">Being up to date with any </w:t>
      </w:r>
      <w:r w:rsidRPr="00CF1978">
        <w:rPr>
          <w:b/>
        </w:rPr>
        <w:t>income contributions</w:t>
      </w:r>
      <w:r w:rsidRPr="00CF1978">
        <w:t xml:space="preserve"> that may be due for payment </w:t>
      </w:r>
    </w:p>
    <w:p w:rsidR="00CF1978" w:rsidRDefault="00CF1978" w:rsidP="00BB0424">
      <w:pPr>
        <w:pStyle w:val="ListParagraph"/>
        <w:numPr>
          <w:ilvl w:val="0"/>
          <w:numId w:val="4"/>
        </w:numPr>
      </w:pPr>
      <w:r w:rsidRPr="00CF1978">
        <w:rPr>
          <w:b/>
        </w:rPr>
        <w:t>Who is paying</w:t>
      </w:r>
      <w:r>
        <w:t xml:space="preserve"> for the tri</w:t>
      </w:r>
      <w:r w:rsidR="00440B64">
        <w:t>p (and if it is not you</w:t>
      </w:r>
      <w:r>
        <w:t xml:space="preserve">, a letter from the party that is paying) </w:t>
      </w:r>
    </w:p>
    <w:p w:rsidR="00CF1978" w:rsidRDefault="00CF1978" w:rsidP="00BB0424">
      <w:pPr>
        <w:pStyle w:val="ListParagraph"/>
        <w:numPr>
          <w:ilvl w:val="0"/>
          <w:numId w:val="4"/>
        </w:numPr>
      </w:pPr>
      <w:r w:rsidRPr="00CF1978">
        <w:t xml:space="preserve">If travelling for work, </w:t>
      </w:r>
      <w:r w:rsidRPr="008014F0">
        <w:rPr>
          <w:b/>
        </w:rPr>
        <w:t>evidence from your employer</w:t>
      </w:r>
      <w:r w:rsidRPr="00CF1978">
        <w:t xml:space="preserve"> as to the reasons for the travel </w:t>
      </w:r>
    </w:p>
    <w:p w:rsidR="008014F0" w:rsidRDefault="008014F0" w:rsidP="008014F0"/>
    <w:p w:rsidR="00C75A0C" w:rsidRDefault="008014F0" w:rsidP="008014F0">
      <w:r>
        <w:t xml:space="preserve">The points above are all centred around establishing that the bankrupt </w:t>
      </w:r>
      <w:r w:rsidR="00440B64">
        <w:t xml:space="preserve">person </w:t>
      </w:r>
      <w:r>
        <w:t>is not a flight risk</w:t>
      </w:r>
      <w:r w:rsidR="00664212">
        <w:t>,</w:t>
      </w:r>
      <w:r w:rsidR="00C75A0C">
        <w:t xml:space="preserve"> that they are not fibbing on their income questionnaires about how much they are earning</w:t>
      </w:r>
      <w:r w:rsidR="00664212">
        <w:t xml:space="preserve"> and that if they do owe their estate some money, they are all square before leaving the country</w:t>
      </w:r>
      <w:r w:rsidR="007F3BF3">
        <w:t>.</w:t>
      </w:r>
    </w:p>
    <w:p w:rsidR="00C75A0C" w:rsidRDefault="00C75A0C" w:rsidP="008014F0"/>
    <w:p w:rsidR="00F05787" w:rsidRDefault="00C75A0C" w:rsidP="008014F0">
      <w:r>
        <w:t>For example, if a bankrupt</w:t>
      </w:r>
      <w:r w:rsidR="00F05787">
        <w:t xml:space="preserve"> person reports income resulting in no contributions to their estate, a first class trip throughout Europe for a month will raise suspicions from their Trustee about what is really going on. </w:t>
      </w:r>
    </w:p>
    <w:p w:rsidR="00F05787" w:rsidRDefault="00F05787" w:rsidP="008014F0"/>
    <w:p w:rsidR="008014F0" w:rsidRDefault="00664212" w:rsidP="008014F0">
      <w:r>
        <w:t>Additionally</w:t>
      </w:r>
      <w:r w:rsidR="00F05787">
        <w:t xml:space="preserve">, if an individual owes money to their estate for income contributions, their Trustee will normally insist that the payments are caught up before allowing the person to travel. </w:t>
      </w:r>
      <w:r w:rsidR="007F3BF3">
        <w:t xml:space="preserve"> </w:t>
      </w:r>
    </w:p>
    <w:p w:rsidR="007F3BF3" w:rsidRDefault="007F3BF3" w:rsidP="008014F0"/>
    <w:p w:rsidR="007F3BF3" w:rsidRDefault="007F3BF3" w:rsidP="008014F0">
      <w:r>
        <w:t xml:space="preserve">So if you are contemplating bankruptcy and international travel is a particularly concerning consideration for you, I trust that this article has allayed your worries. </w:t>
      </w:r>
    </w:p>
    <w:p w:rsidR="00AF20B7" w:rsidRDefault="00AF20B7" w:rsidP="008014F0"/>
    <w:p w:rsidR="00AF20B7" w:rsidRDefault="00AF20B7" w:rsidP="008014F0">
      <w:r>
        <w:t xml:space="preserve">If you have any questions about how this article may apply to your circumstances, please feel free to pick up the phone and give me a call. </w:t>
      </w:r>
    </w:p>
    <w:p w:rsidR="00AF20B7" w:rsidRDefault="00AF20B7" w:rsidP="008014F0"/>
    <w:p w:rsidR="00AF20B7" w:rsidRPr="007D113D" w:rsidRDefault="0033500C" w:rsidP="007D113D">
      <w:pPr>
        <w:pStyle w:val="ListParagraph"/>
        <w:numPr>
          <w:ilvl w:val="0"/>
          <w:numId w:val="6"/>
        </w:numPr>
        <w:rPr>
          <w:b/>
        </w:rPr>
      </w:pPr>
      <w:r w:rsidRPr="007D113D">
        <w:rPr>
          <w:b/>
        </w:rPr>
        <w:t xml:space="preserve">Data Privacy Day </w:t>
      </w:r>
    </w:p>
    <w:p w:rsidR="0033500C" w:rsidRPr="0033500C" w:rsidRDefault="0033500C" w:rsidP="008014F0">
      <w:pPr>
        <w:rPr>
          <w:b/>
        </w:rPr>
      </w:pPr>
      <w:r w:rsidRPr="0033500C">
        <w:rPr>
          <w:b/>
        </w:rPr>
        <w:t xml:space="preserve">Is your system protected? </w:t>
      </w:r>
    </w:p>
    <w:p w:rsidR="0033500C" w:rsidRDefault="0033500C" w:rsidP="008014F0"/>
    <w:p w:rsidR="0033500C" w:rsidRDefault="0033500C" w:rsidP="008014F0">
      <w:r>
        <w:t>The 28</w:t>
      </w:r>
      <w:r w:rsidRPr="0033500C">
        <w:rPr>
          <w:vertAlign w:val="superscript"/>
        </w:rPr>
        <w:t>th</w:t>
      </w:r>
      <w:r>
        <w:t xml:space="preserve"> of January was international Data Privacy Day and it served as a reminder to all of us how easily a sophisticated hacker could access private data or bring a computer network to its knees. </w:t>
      </w:r>
    </w:p>
    <w:p w:rsidR="0033500C" w:rsidRDefault="0033500C" w:rsidP="008014F0"/>
    <w:p w:rsidR="0033500C" w:rsidRDefault="0033500C" w:rsidP="008014F0">
      <w:r>
        <w:t xml:space="preserve">Here are some quick and simple tips to avoid befalling one of these cyber pirates: </w:t>
      </w:r>
    </w:p>
    <w:p w:rsidR="0030713A" w:rsidRDefault="0030713A" w:rsidP="008014F0"/>
    <w:p w:rsidR="00F84B68" w:rsidRDefault="00F84B68" w:rsidP="0030713A">
      <w:pPr>
        <w:pStyle w:val="ListParagraph"/>
        <w:numPr>
          <w:ilvl w:val="0"/>
          <w:numId w:val="5"/>
        </w:numPr>
      </w:pPr>
      <w:r>
        <w:t xml:space="preserve">Email red flags </w:t>
      </w:r>
    </w:p>
    <w:p w:rsidR="00F84B68" w:rsidRDefault="00F84B68" w:rsidP="00F84B68">
      <w:pPr>
        <w:pStyle w:val="ListParagraph"/>
        <w:numPr>
          <w:ilvl w:val="1"/>
          <w:numId w:val="5"/>
        </w:numPr>
      </w:pPr>
      <w:r>
        <w:t xml:space="preserve">The time of the email – would your boss really send you an email at 2am? </w:t>
      </w:r>
    </w:p>
    <w:p w:rsidR="00F84B68" w:rsidRDefault="00F84B68" w:rsidP="00F84B68">
      <w:pPr>
        <w:pStyle w:val="ListParagraph"/>
        <w:numPr>
          <w:ilvl w:val="1"/>
          <w:numId w:val="5"/>
        </w:numPr>
      </w:pPr>
      <w:r>
        <w:t xml:space="preserve">Irregular language, such as ‘wire transfer’ </w:t>
      </w:r>
      <w:r w:rsidR="00210FF0">
        <w:t xml:space="preserve">(US) </w:t>
      </w:r>
      <w:r>
        <w:t xml:space="preserve">as opposed to ‘EFT’ </w:t>
      </w:r>
      <w:r w:rsidR="00210FF0">
        <w:t xml:space="preserve">(Australia) </w:t>
      </w:r>
    </w:p>
    <w:p w:rsidR="00F84B68" w:rsidRDefault="00065563" w:rsidP="00F84B68">
      <w:pPr>
        <w:pStyle w:val="ListParagraph"/>
        <w:numPr>
          <w:ilvl w:val="1"/>
          <w:numId w:val="5"/>
        </w:numPr>
      </w:pPr>
      <w:r>
        <w:t xml:space="preserve">Poor grammar in an email, indicating that English may not be the writer’s first language </w:t>
      </w:r>
    </w:p>
    <w:p w:rsidR="00065563" w:rsidRDefault="00065563" w:rsidP="00F84B68">
      <w:pPr>
        <w:pStyle w:val="ListParagraph"/>
        <w:numPr>
          <w:ilvl w:val="1"/>
          <w:numId w:val="5"/>
        </w:numPr>
      </w:pPr>
      <w:r>
        <w:t>Strange requests from people inside (or outside) your organisation, such as funds transfer</w:t>
      </w:r>
      <w:r w:rsidR="00210FF0">
        <w:t>s</w:t>
      </w:r>
      <w:r>
        <w:t xml:space="preserve">, or requests for personal details </w:t>
      </w:r>
    </w:p>
    <w:p w:rsidR="0030713A" w:rsidRDefault="0030713A" w:rsidP="0030713A">
      <w:pPr>
        <w:pStyle w:val="ListParagraph"/>
        <w:numPr>
          <w:ilvl w:val="0"/>
          <w:numId w:val="5"/>
        </w:numPr>
      </w:pPr>
      <w:r>
        <w:lastRenderedPageBreak/>
        <w:t xml:space="preserve">Email vigilance </w:t>
      </w:r>
    </w:p>
    <w:p w:rsidR="0030713A" w:rsidRDefault="0030713A" w:rsidP="0030713A">
      <w:pPr>
        <w:pStyle w:val="ListParagraph"/>
        <w:numPr>
          <w:ilvl w:val="1"/>
          <w:numId w:val="5"/>
        </w:numPr>
      </w:pPr>
      <w:r>
        <w:t xml:space="preserve">Do not open an email from someone that you do not know </w:t>
      </w:r>
    </w:p>
    <w:p w:rsidR="0030713A" w:rsidRDefault="0030713A" w:rsidP="0030713A">
      <w:pPr>
        <w:pStyle w:val="ListParagraph"/>
        <w:numPr>
          <w:ilvl w:val="1"/>
          <w:numId w:val="5"/>
        </w:numPr>
      </w:pPr>
      <w:r>
        <w:t>Do not open unknown attachments</w:t>
      </w:r>
    </w:p>
    <w:p w:rsidR="0030713A" w:rsidRDefault="0030713A" w:rsidP="0030713A">
      <w:pPr>
        <w:pStyle w:val="ListParagraph"/>
        <w:numPr>
          <w:ilvl w:val="1"/>
          <w:numId w:val="5"/>
        </w:numPr>
      </w:pPr>
      <w:r>
        <w:t xml:space="preserve">Check the domain name attached to an email address – if </w:t>
      </w:r>
      <w:r w:rsidR="00065563">
        <w:t xml:space="preserve">it looks suspicious, it may be a fake account </w:t>
      </w:r>
    </w:p>
    <w:p w:rsidR="00065563" w:rsidRDefault="00065563" w:rsidP="00065563">
      <w:pPr>
        <w:pStyle w:val="ListParagraph"/>
        <w:numPr>
          <w:ilvl w:val="0"/>
          <w:numId w:val="5"/>
        </w:numPr>
      </w:pPr>
      <w:r>
        <w:t xml:space="preserve">Virus protection </w:t>
      </w:r>
    </w:p>
    <w:p w:rsidR="00065563" w:rsidRDefault="00065563" w:rsidP="00065563">
      <w:pPr>
        <w:pStyle w:val="ListParagraph"/>
        <w:numPr>
          <w:ilvl w:val="1"/>
          <w:numId w:val="5"/>
        </w:numPr>
      </w:pPr>
      <w:r>
        <w:t xml:space="preserve">Install a firewall </w:t>
      </w:r>
    </w:p>
    <w:p w:rsidR="00065563" w:rsidRDefault="00065563" w:rsidP="00065563">
      <w:pPr>
        <w:pStyle w:val="ListParagraph"/>
        <w:numPr>
          <w:ilvl w:val="1"/>
          <w:numId w:val="5"/>
        </w:numPr>
      </w:pPr>
      <w:r>
        <w:t xml:space="preserve">Maintain anti-virus software </w:t>
      </w:r>
    </w:p>
    <w:p w:rsidR="00065563" w:rsidRDefault="00065563" w:rsidP="00065563">
      <w:pPr>
        <w:pStyle w:val="ListParagraph"/>
        <w:numPr>
          <w:ilvl w:val="1"/>
          <w:numId w:val="5"/>
        </w:numPr>
      </w:pPr>
      <w:r>
        <w:t xml:space="preserve">Make sure your computer software and hardware is up to date </w:t>
      </w:r>
    </w:p>
    <w:p w:rsidR="00065563" w:rsidRDefault="00065563" w:rsidP="00065563">
      <w:pPr>
        <w:pStyle w:val="ListParagraph"/>
        <w:numPr>
          <w:ilvl w:val="1"/>
          <w:numId w:val="5"/>
        </w:numPr>
      </w:pPr>
      <w:r>
        <w:t xml:space="preserve">Check that your work and home Wi-Fi is safe and secure </w:t>
      </w:r>
    </w:p>
    <w:p w:rsidR="00F27988" w:rsidRDefault="00F27988" w:rsidP="00F27988">
      <w:pPr>
        <w:pStyle w:val="ListParagraph"/>
        <w:numPr>
          <w:ilvl w:val="0"/>
          <w:numId w:val="5"/>
        </w:numPr>
      </w:pPr>
      <w:r>
        <w:t xml:space="preserve">Client communications </w:t>
      </w:r>
    </w:p>
    <w:p w:rsidR="005621F9" w:rsidRDefault="00F27988" w:rsidP="005621F9">
      <w:pPr>
        <w:pStyle w:val="ListParagraph"/>
        <w:numPr>
          <w:ilvl w:val="1"/>
          <w:numId w:val="5"/>
        </w:numPr>
      </w:pPr>
      <w:r>
        <w:t>Follow up a request to change bank account details with a phone cal</w:t>
      </w:r>
      <w:r w:rsidR="005621F9">
        <w:t>l</w:t>
      </w:r>
    </w:p>
    <w:p w:rsidR="005621F9" w:rsidRDefault="005621F9" w:rsidP="005621F9">
      <w:pPr>
        <w:pStyle w:val="ListParagraph"/>
        <w:numPr>
          <w:ilvl w:val="0"/>
          <w:numId w:val="5"/>
        </w:numPr>
      </w:pPr>
      <w:r>
        <w:t xml:space="preserve">Avoid PC risks </w:t>
      </w:r>
    </w:p>
    <w:p w:rsidR="005621F9" w:rsidRDefault="005621F9" w:rsidP="005621F9">
      <w:pPr>
        <w:pStyle w:val="ListParagraph"/>
        <w:numPr>
          <w:ilvl w:val="1"/>
          <w:numId w:val="5"/>
        </w:numPr>
      </w:pPr>
      <w:r>
        <w:t>Internet cafes</w:t>
      </w:r>
    </w:p>
    <w:p w:rsidR="005621F9" w:rsidRDefault="005621F9" w:rsidP="005621F9">
      <w:pPr>
        <w:pStyle w:val="ListParagraph"/>
        <w:numPr>
          <w:ilvl w:val="1"/>
          <w:numId w:val="5"/>
        </w:numPr>
      </w:pPr>
      <w:r>
        <w:t xml:space="preserve">Public Wi-Fi networks </w:t>
      </w:r>
    </w:p>
    <w:p w:rsidR="005621F9" w:rsidRDefault="005621F9" w:rsidP="005621F9">
      <w:pPr>
        <w:pStyle w:val="ListParagraph"/>
        <w:numPr>
          <w:ilvl w:val="1"/>
          <w:numId w:val="5"/>
        </w:numPr>
      </w:pPr>
      <w:r>
        <w:t>Cold calls</w:t>
      </w:r>
    </w:p>
    <w:p w:rsidR="0033500C" w:rsidRDefault="0033500C" w:rsidP="008014F0"/>
    <w:p w:rsidR="0033500C" w:rsidRDefault="00210FF0" w:rsidP="008014F0">
      <w:r>
        <w:t>False emails can look pretty convincing nowadays, and it only takes on</w:t>
      </w:r>
      <w:r w:rsidR="00DB5025">
        <w:t>e</w:t>
      </w:r>
      <w:r>
        <w:t xml:space="preserve"> innocent click on a link to unleash fury on your IT environment.  </w:t>
      </w:r>
    </w:p>
    <w:p w:rsidR="00DB5025" w:rsidRDefault="00DB5025" w:rsidP="008014F0"/>
    <w:p w:rsidR="00DB5025" w:rsidRDefault="00DB5025" w:rsidP="008014F0">
      <w:r>
        <w:t xml:space="preserve">So be aware – always – and heed the advice above. </w:t>
      </w:r>
      <w:r w:rsidR="00533175">
        <w:t xml:space="preserve">It could save you a whole lot of pain in the long run. </w:t>
      </w:r>
    </w:p>
    <w:p w:rsidR="00DB5025" w:rsidRDefault="00DB5025" w:rsidP="008014F0"/>
    <w:p w:rsidR="00DB5025" w:rsidRDefault="00DB5025" w:rsidP="008014F0"/>
    <w:p w:rsidR="00AF20B7" w:rsidRDefault="00AF20B7" w:rsidP="008014F0"/>
    <w:p w:rsidR="00AF20B7" w:rsidRPr="00CF1978" w:rsidRDefault="00AF20B7" w:rsidP="008014F0"/>
    <w:p w:rsidR="00CC7ADC" w:rsidRDefault="00CC7ADC">
      <w:pPr>
        <w:rPr>
          <w:b/>
        </w:rPr>
      </w:pPr>
    </w:p>
    <w:sectPr w:rsidR="00CC7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3FCD"/>
    <w:multiLevelType w:val="hybridMultilevel"/>
    <w:tmpl w:val="A65495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1F0F"/>
    <w:multiLevelType w:val="hybridMultilevel"/>
    <w:tmpl w:val="593E2E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B55"/>
    <w:multiLevelType w:val="hybridMultilevel"/>
    <w:tmpl w:val="DDE08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F6"/>
    <w:multiLevelType w:val="hybridMultilevel"/>
    <w:tmpl w:val="8BE0B9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35E4"/>
    <w:multiLevelType w:val="hybridMultilevel"/>
    <w:tmpl w:val="609E0B98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A7F25C0"/>
    <w:multiLevelType w:val="hybridMultilevel"/>
    <w:tmpl w:val="648CE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5E"/>
    <w:rsid w:val="00010BA5"/>
    <w:rsid w:val="00015FD6"/>
    <w:rsid w:val="000536AC"/>
    <w:rsid w:val="00065563"/>
    <w:rsid w:val="0006634E"/>
    <w:rsid w:val="0007232C"/>
    <w:rsid w:val="00080084"/>
    <w:rsid w:val="00095FDC"/>
    <w:rsid w:val="000B0848"/>
    <w:rsid w:val="000B275E"/>
    <w:rsid w:val="000F482A"/>
    <w:rsid w:val="000F5003"/>
    <w:rsid w:val="00103593"/>
    <w:rsid w:val="00157749"/>
    <w:rsid w:val="0017082C"/>
    <w:rsid w:val="00177F7D"/>
    <w:rsid w:val="00180B9F"/>
    <w:rsid w:val="001E43B2"/>
    <w:rsid w:val="00201B4D"/>
    <w:rsid w:val="00210FF0"/>
    <w:rsid w:val="002156D3"/>
    <w:rsid w:val="00216270"/>
    <w:rsid w:val="00232C4A"/>
    <w:rsid w:val="0026089C"/>
    <w:rsid w:val="00264E0A"/>
    <w:rsid w:val="002B4F43"/>
    <w:rsid w:val="002C24AC"/>
    <w:rsid w:val="0030713A"/>
    <w:rsid w:val="0033500C"/>
    <w:rsid w:val="00346DE5"/>
    <w:rsid w:val="00357573"/>
    <w:rsid w:val="0036645E"/>
    <w:rsid w:val="0038482E"/>
    <w:rsid w:val="003A7300"/>
    <w:rsid w:val="003B0E84"/>
    <w:rsid w:val="003B2094"/>
    <w:rsid w:val="003F5501"/>
    <w:rsid w:val="00440B64"/>
    <w:rsid w:val="00452F92"/>
    <w:rsid w:val="004C1EE2"/>
    <w:rsid w:val="005014B2"/>
    <w:rsid w:val="005017B8"/>
    <w:rsid w:val="00514B9B"/>
    <w:rsid w:val="00533175"/>
    <w:rsid w:val="005455CC"/>
    <w:rsid w:val="00555845"/>
    <w:rsid w:val="00555CDC"/>
    <w:rsid w:val="005621F9"/>
    <w:rsid w:val="00586C31"/>
    <w:rsid w:val="00615B12"/>
    <w:rsid w:val="00664212"/>
    <w:rsid w:val="0066601B"/>
    <w:rsid w:val="006A589D"/>
    <w:rsid w:val="006C5616"/>
    <w:rsid w:val="006D353D"/>
    <w:rsid w:val="006D36B9"/>
    <w:rsid w:val="006F55E4"/>
    <w:rsid w:val="00746783"/>
    <w:rsid w:val="007917D3"/>
    <w:rsid w:val="007D113D"/>
    <w:rsid w:val="007D7FBE"/>
    <w:rsid w:val="007E0102"/>
    <w:rsid w:val="007E2C4B"/>
    <w:rsid w:val="007F3BF3"/>
    <w:rsid w:val="007F5001"/>
    <w:rsid w:val="008014F0"/>
    <w:rsid w:val="00804C96"/>
    <w:rsid w:val="00817588"/>
    <w:rsid w:val="00836B9F"/>
    <w:rsid w:val="00870573"/>
    <w:rsid w:val="00881B72"/>
    <w:rsid w:val="008D7A76"/>
    <w:rsid w:val="008F1BC5"/>
    <w:rsid w:val="008F214B"/>
    <w:rsid w:val="00920FAB"/>
    <w:rsid w:val="0093216E"/>
    <w:rsid w:val="009958A6"/>
    <w:rsid w:val="009B5CC7"/>
    <w:rsid w:val="00A27BF1"/>
    <w:rsid w:val="00A36716"/>
    <w:rsid w:val="00A44C3C"/>
    <w:rsid w:val="00A86C30"/>
    <w:rsid w:val="00AD1D35"/>
    <w:rsid w:val="00AD572B"/>
    <w:rsid w:val="00AF20B7"/>
    <w:rsid w:val="00AF2577"/>
    <w:rsid w:val="00B0441C"/>
    <w:rsid w:val="00B4152D"/>
    <w:rsid w:val="00B44AB0"/>
    <w:rsid w:val="00B82C7C"/>
    <w:rsid w:val="00B927BD"/>
    <w:rsid w:val="00BB0424"/>
    <w:rsid w:val="00BD4509"/>
    <w:rsid w:val="00BF0389"/>
    <w:rsid w:val="00C2271C"/>
    <w:rsid w:val="00C748CC"/>
    <w:rsid w:val="00C75A0C"/>
    <w:rsid w:val="00CA2B78"/>
    <w:rsid w:val="00CA713D"/>
    <w:rsid w:val="00CB4388"/>
    <w:rsid w:val="00CC7ADC"/>
    <w:rsid w:val="00CF1978"/>
    <w:rsid w:val="00D07462"/>
    <w:rsid w:val="00D24661"/>
    <w:rsid w:val="00D333A1"/>
    <w:rsid w:val="00D54F32"/>
    <w:rsid w:val="00DB0A74"/>
    <w:rsid w:val="00DB2518"/>
    <w:rsid w:val="00DB5025"/>
    <w:rsid w:val="00DD31B9"/>
    <w:rsid w:val="00DE55FB"/>
    <w:rsid w:val="00E044B5"/>
    <w:rsid w:val="00E73413"/>
    <w:rsid w:val="00ED7E71"/>
    <w:rsid w:val="00EE1CC2"/>
    <w:rsid w:val="00F05787"/>
    <w:rsid w:val="00F11FE9"/>
    <w:rsid w:val="00F27988"/>
    <w:rsid w:val="00F84B68"/>
    <w:rsid w:val="00F877C6"/>
    <w:rsid w:val="00F92E0B"/>
    <w:rsid w:val="00FB6D37"/>
    <w:rsid w:val="00FE2B12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25AD-16A9-4583-A3D4-57298F3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Quin</dc:creator>
  <cp:keywords/>
  <dc:description/>
  <cp:lastModifiedBy>Rikki Bird</cp:lastModifiedBy>
  <cp:revision>9</cp:revision>
  <dcterms:created xsi:type="dcterms:W3CDTF">2020-01-22T06:09:00Z</dcterms:created>
  <dcterms:modified xsi:type="dcterms:W3CDTF">2020-01-31T05:36:00Z</dcterms:modified>
</cp:coreProperties>
</file>